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C6D" w:rsidRDefault="00930C6D" w:rsidP="00930C6D">
      <w:pPr>
        <w:pStyle w:val="Heading1"/>
      </w:pPr>
      <w:r>
        <w:t>Interpersonal Mindfulness</w:t>
      </w:r>
    </w:p>
    <w:p w:rsidR="004E638C" w:rsidRDefault="004E638C" w:rsidP="00930C6D">
      <w:pPr>
        <w:pStyle w:val="Heading2"/>
      </w:pPr>
      <w:r>
        <w:t xml:space="preserve">CONFLICT MANAGEMENT STYLES </w:t>
      </w:r>
    </w:p>
    <w:p w:rsidR="004E638C" w:rsidRPr="004E638C" w:rsidRDefault="004E638C" w:rsidP="004E638C">
      <w:pPr>
        <w:rPr>
          <w:rFonts w:ascii="Open Sans" w:hAnsi="Open Sans" w:cs="Open Sans"/>
          <w:b/>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492125</wp:posOffset>
            </wp:positionV>
            <wp:extent cx="3065780" cy="2428875"/>
            <wp:effectExtent l="0" t="0" r="1270" b="9525"/>
            <wp:wrapSquare wrapText="bothSides"/>
            <wp:docPr id="3" name="Picture 3" descr="http://righttraxtraining.co.uk/wp-content/uploads/2015/06/Dual-Concern-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ighttraxtraining.co.uk/wp-content/uploads/2015/06/Dual-Concern-Mod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5780" cy="2428875"/>
                    </a:xfrm>
                    <a:prstGeom prst="rect">
                      <a:avLst/>
                    </a:prstGeom>
                    <a:noFill/>
                    <a:ln>
                      <a:noFill/>
                    </a:ln>
                  </pic:spPr>
                </pic:pic>
              </a:graphicData>
            </a:graphic>
          </wp:anchor>
        </w:drawing>
      </w:r>
      <w:r w:rsidRPr="004E638C">
        <w:rPr>
          <w:rFonts w:ascii="Open Sans" w:hAnsi="Open Sans" w:cs="Open Sans"/>
          <w:b/>
        </w:rPr>
        <w:t>As we grow up, we typically settle on one of these three strategies as a habitual strategy f</w:t>
      </w:r>
      <w:r w:rsidRPr="004E638C">
        <w:rPr>
          <w:rFonts w:ascii="Open Sans" w:hAnsi="Open Sans" w:cs="Open Sans"/>
          <w:b/>
        </w:rPr>
        <w:t>or dealing with conflict</w:t>
      </w:r>
    </w:p>
    <w:p w:rsidR="004E638C" w:rsidRDefault="004E638C" w:rsidP="004E638C">
      <w:pPr>
        <w:rPr>
          <w:rFonts w:ascii="Open Sans" w:eastAsia="Times New Roman" w:hAnsi="Open Sans" w:cs="Open Sans"/>
          <w:b/>
          <w:bCs/>
          <w:color w:val="000000"/>
          <w:sz w:val="20"/>
          <w:szCs w:val="20"/>
          <w:lang w:eastAsia="en-GB"/>
        </w:rPr>
      </w:pPr>
    </w:p>
    <w:p w:rsidR="004E638C" w:rsidRDefault="004E638C" w:rsidP="004E638C">
      <w:pPr>
        <w:rPr>
          <w:rFonts w:ascii="Open Sans" w:eastAsia="Times New Roman" w:hAnsi="Open Sans" w:cs="Open Sans"/>
          <w:color w:val="363638"/>
          <w:sz w:val="20"/>
          <w:szCs w:val="20"/>
          <w:lang w:eastAsia="en-GB"/>
        </w:rPr>
      </w:pPr>
      <w:r w:rsidRPr="004E638C">
        <w:rPr>
          <w:rFonts w:ascii="Open Sans" w:eastAsia="Times New Roman" w:hAnsi="Open Sans" w:cs="Open Sans"/>
          <w:b/>
          <w:bCs/>
          <w:color w:val="000000"/>
          <w:sz w:val="20"/>
          <w:szCs w:val="20"/>
          <w:lang w:eastAsia="en-GB"/>
        </w:rPr>
        <w:t>Competing</w:t>
      </w:r>
      <w:r w:rsidRPr="004E638C">
        <w:rPr>
          <w:rFonts w:ascii="Open Sans" w:eastAsia="Times New Roman" w:hAnsi="Open Sans" w:cs="Open Sans"/>
          <w:color w:val="363638"/>
          <w:sz w:val="20"/>
          <w:szCs w:val="20"/>
          <w:lang w:eastAsia="en-GB"/>
        </w:rPr>
        <w:t> is assertive and uncooperative—an individual pursues his own concerns at the other person's expense. This is a power-oriented mode in which you use whatever power seems appropriate to win your own position—your ability to argue, your rank, or economic sanctions. Competing means "standing up for your rights," defending a position which you believe is correct, or simply trying to win.</w:t>
      </w:r>
    </w:p>
    <w:p w:rsidR="004E638C" w:rsidRPr="004E638C" w:rsidRDefault="004E638C" w:rsidP="004E638C">
      <w:pPr>
        <w:rPr>
          <w:rFonts w:ascii="Open Sans" w:eastAsia="Times New Roman" w:hAnsi="Open Sans" w:cs="Open Sans"/>
          <w:color w:val="363638"/>
          <w:sz w:val="20"/>
          <w:szCs w:val="20"/>
          <w:lang w:eastAsia="en-GB"/>
        </w:rPr>
      </w:pPr>
    </w:p>
    <w:p w:rsidR="004E638C" w:rsidRPr="004E638C" w:rsidRDefault="004E638C" w:rsidP="004E638C">
      <w:pPr>
        <w:rPr>
          <w:rFonts w:ascii="Open Sans" w:eastAsia="Times New Roman" w:hAnsi="Open Sans" w:cs="Open Sans"/>
          <w:color w:val="363638"/>
          <w:sz w:val="20"/>
          <w:szCs w:val="20"/>
          <w:lang w:eastAsia="en-GB"/>
        </w:rPr>
      </w:pPr>
      <w:r w:rsidRPr="004E638C">
        <w:rPr>
          <w:rFonts w:ascii="Open Sans" w:eastAsia="Times New Roman" w:hAnsi="Open Sans" w:cs="Open Sans"/>
          <w:b/>
          <w:bCs/>
          <w:color w:val="000000"/>
          <w:sz w:val="20"/>
          <w:szCs w:val="20"/>
          <w:lang w:eastAsia="en-GB"/>
        </w:rPr>
        <w:t>Accommodating</w:t>
      </w:r>
      <w:r w:rsidRPr="004E638C">
        <w:rPr>
          <w:rFonts w:ascii="Open Sans" w:eastAsia="Times New Roman" w:hAnsi="Open Sans" w:cs="Open Sans"/>
          <w:color w:val="363638"/>
          <w:sz w:val="20"/>
          <w:szCs w:val="20"/>
          <w:lang w:eastAsia="en-GB"/>
        </w:rPr>
        <w:t> is unassertive and cooperative—</w:t>
      </w:r>
      <w:proofErr w:type="gramStart"/>
      <w:r w:rsidRPr="004E638C">
        <w:rPr>
          <w:rFonts w:ascii="Open Sans" w:eastAsia="Times New Roman" w:hAnsi="Open Sans" w:cs="Open Sans"/>
          <w:color w:val="363638"/>
          <w:sz w:val="20"/>
          <w:szCs w:val="20"/>
          <w:lang w:eastAsia="en-GB"/>
        </w:rPr>
        <w:t>the complete opposite of</w:t>
      </w:r>
      <w:proofErr w:type="gramEnd"/>
      <w:r w:rsidRPr="004E638C">
        <w:rPr>
          <w:rFonts w:ascii="Open Sans" w:eastAsia="Times New Roman" w:hAnsi="Open Sans" w:cs="Open Sans"/>
          <w:color w:val="363638"/>
          <w:sz w:val="20"/>
          <w:szCs w:val="20"/>
          <w:lang w:eastAsia="en-GB"/>
        </w:rPr>
        <w:t xml:space="preserve"> competing. When accommodating, the individual neglects his own concerns to satisfy the concerns of the other person; there is an element of self-sacrifice in this mode. Accommodating might take the form of selfless generosity or charity, obeying another person's order when you would prefer not to, or yielding to another's point of view.</w:t>
      </w:r>
    </w:p>
    <w:p w:rsidR="004E638C" w:rsidRPr="004E638C" w:rsidRDefault="004E638C" w:rsidP="004E638C">
      <w:pPr>
        <w:rPr>
          <w:rFonts w:ascii="Open Sans" w:eastAsia="Times New Roman" w:hAnsi="Open Sans" w:cs="Open Sans"/>
          <w:color w:val="363638"/>
          <w:sz w:val="20"/>
          <w:szCs w:val="20"/>
          <w:lang w:eastAsia="en-GB"/>
        </w:rPr>
      </w:pPr>
      <w:r w:rsidRPr="004E638C">
        <w:rPr>
          <w:rFonts w:ascii="Open Sans" w:eastAsia="Times New Roman" w:hAnsi="Open Sans" w:cs="Open Sans"/>
          <w:b/>
          <w:bCs/>
          <w:color w:val="000000"/>
          <w:sz w:val="20"/>
          <w:szCs w:val="20"/>
          <w:lang w:eastAsia="en-GB"/>
        </w:rPr>
        <w:t>Avoiding</w:t>
      </w:r>
      <w:r w:rsidRPr="004E638C">
        <w:rPr>
          <w:rFonts w:ascii="Open Sans" w:eastAsia="Times New Roman" w:hAnsi="Open Sans" w:cs="Open Sans"/>
          <w:color w:val="363638"/>
          <w:sz w:val="20"/>
          <w:szCs w:val="20"/>
          <w:lang w:eastAsia="en-GB"/>
        </w:rPr>
        <w:t xml:space="preserve"> is unassertive and uncooperative—the person neither pursues his own concerns nor those of the other individual. Thus </w:t>
      </w:r>
      <w:r>
        <w:rPr>
          <w:rFonts w:ascii="Open Sans" w:eastAsia="Times New Roman" w:hAnsi="Open Sans" w:cs="Open Sans"/>
          <w:color w:val="363638"/>
          <w:sz w:val="20"/>
          <w:szCs w:val="20"/>
          <w:lang w:eastAsia="en-GB"/>
        </w:rPr>
        <w:t>(s)</w:t>
      </w:r>
      <w:r w:rsidRPr="004E638C">
        <w:rPr>
          <w:rFonts w:ascii="Open Sans" w:eastAsia="Times New Roman" w:hAnsi="Open Sans" w:cs="Open Sans"/>
          <w:color w:val="363638"/>
          <w:sz w:val="20"/>
          <w:szCs w:val="20"/>
          <w:lang w:eastAsia="en-GB"/>
        </w:rPr>
        <w:t>he does not deal with the conflict. Avoiding might take the form of diplomatically sidestepping an issue, postponing an issue until a better time, or simply withdrawing from a threatening situation.</w:t>
      </w:r>
    </w:p>
    <w:p w:rsidR="004E638C" w:rsidRPr="004E638C" w:rsidRDefault="004E638C" w:rsidP="004E638C">
      <w:pPr>
        <w:rPr>
          <w:rFonts w:ascii="Open Sans" w:eastAsia="Times New Roman" w:hAnsi="Open Sans" w:cs="Open Sans"/>
          <w:color w:val="363638"/>
          <w:sz w:val="20"/>
          <w:szCs w:val="20"/>
          <w:lang w:eastAsia="en-GB"/>
        </w:rPr>
      </w:pPr>
      <w:r w:rsidRPr="004E638C">
        <w:rPr>
          <w:rFonts w:ascii="Open Sans" w:eastAsia="Times New Roman" w:hAnsi="Open Sans" w:cs="Open Sans"/>
          <w:b/>
          <w:bCs/>
          <w:color w:val="000000"/>
          <w:sz w:val="20"/>
          <w:szCs w:val="20"/>
          <w:lang w:eastAsia="en-GB"/>
        </w:rPr>
        <w:t>Collaborating</w:t>
      </w:r>
      <w:r w:rsidRPr="004E638C">
        <w:rPr>
          <w:rFonts w:ascii="Open Sans" w:eastAsia="Times New Roman" w:hAnsi="Open Sans" w:cs="Open Sans"/>
          <w:color w:val="363638"/>
          <w:sz w:val="20"/>
          <w:szCs w:val="20"/>
          <w:lang w:eastAsia="en-GB"/>
        </w:rPr>
        <w:t> is both assertive and cooperative—</w:t>
      </w:r>
      <w:proofErr w:type="gramStart"/>
      <w:r w:rsidRPr="004E638C">
        <w:rPr>
          <w:rFonts w:ascii="Open Sans" w:eastAsia="Times New Roman" w:hAnsi="Open Sans" w:cs="Open Sans"/>
          <w:color w:val="363638"/>
          <w:sz w:val="20"/>
          <w:szCs w:val="20"/>
          <w:lang w:eastAsia="en-GB"/>
        </w:rPr>
        <w:t>the complete opposite of</w:t>
      </w:r>
      <w:proofErr w:type="gramEnd"/>
      <w:r w:rsidRPr="004E638C">
        <w:rPr>
          <w:rFonts w:ascii="Open Sans" w:eastAsia="Times New Roman" w:hAnsi="Open Sans" w:cs="Open Sans"/>
          <w:color w:val="363638"/>
          <w:sz w:val="20"/>
          <w:szCs w:val="20"/>
          <w:lang w:eastAsia="en-GB"/>
        </w:rPr>
        <w:t xml:space="preserve"> avoiding. Collaborating involves an attempt to work with others to find some solution that fully satisfies their concerns. It means digging into an issue to pinpoint the underlying needs and wants of the two individuals. Collaborating between two persons might take the form of exploring a disagreement to learn from each other's insights or trying to find a creative solution to an interpersonal problem.</w:t>
      </w:r>
    </w:p>
    <w:p w:rsidR="004E638C" w:rsidRPr="004E638C" w:rsidRDefault="004E638C" w:rsidP="004E638C">
      <w:pPr>
        <w:rPr>
          <w:rFonts w:ascii="Open Sans" w:eastAsia="Times New Roman" w:hAnsi="Open Sans" w:cs="Open Sans"/>
          <w:color w:val="363638"/>
          <w:sz w:val="20"/>
          <w:szCs w:val="20"/>
          <w:lang w:eastAsia="en-GB"/>
        </w:rPr>
      </w:pPr>
      <w:r w:rsidRPr="004E638C">
        <w:rPr>
          <w:rFonts w:ascii="Open Sans" w:eastAsia="Times New Roman" w:hAnsi="Open Sans" w:cs="Open Sans"/>
          <w:b/>
          <w:bCs/>
          <w:color w:val="000000"/>
          <w:sz w:val="20"/>
          <w:szCs w:val="20"/>
          <w:lang w:eastAsia="en-GB"/>
        </w:rPr>
        <w:t>Compromising</w:t>
      </w:r>
      <w:r w:rsidRPr="004E638C">
        <w:rPr>
          <w:rFonts w:ascii="Open Sans" w:eastAsia="Times New Roman" w:hAnsi="Open Sans" w:cs="Open Sans"/>
          <w:color w:val="363638"/>
          <w:sz w:val="20"/>
          <w:szCs w:val="20"/>
          <w:lang w:eastAsia="en-GB"/>
        </w:rPr>
        <w:t> is moderate in both assertiveness and cooperativeness. The objective is to find some expedient, mutually acceptable solution that partially satisfies both parties. It falls intermediate between competing and accommodating. Compromising gives up more than competing but less than accommodating. Likewise, it addresses an issue more directly than avoiding, but does not explore it in as much depth as collaborating. In some situations, compromising might mean splitting the difference between the two positions, exchanging concessions, or seeking a quick middle-ground solution.</w:t>
      </w:r>
    </w:p>
    <w:p w:rsidR="00930C6D" w:rsidRDefault="00930C6D" w:rsidP="00930C6D">
      <w:pPr>
        <w:pStyle w:val="Heading2"/>
      </w:pPr>
      <w:bookmarkStart w:id="0" w:name="_GoBack"/>
      <w:bookmarkEnd w:id="0"/>
      <w:r>
        <w:lastRenderedPageBreak/>
        <w:t>Mindfulness &amp; Non-Violent Communication</w:t>
      </w:r>
    </w:p>
    <w:p w:rsidR="00930C6D" w:rsidRDefault="00930C6D" w:rsidP="001F258F"/>
    <w:p w:rsidR="00930C6D" w:rsidRPr="00930C6D" w:rsidRDefault="00930C6D" w:rsidP="001F258F">
      <w:pPr>
        <w:rPr>
          <w:i/>
        </w:rPr>
      </w:pPr>
      <w:r w:rsidRPr="00930C6D">
        <w:rPr>
          <w:i/>
        </w:rPr>
        <w:t>Marshall Rosenberg (adapted from Nonviolent Communication: A Language of Life)</w:t>
      </w:r>
    </w:p>
    <w:p w:rsidR="001F258F" w:rsidRDefault="001F258F" w:rsidP="001F258F">
      <w:r>
        <w:t>To arrive at a mutual desire to g</w:t>
      </w:r>
      <w:r w:rsidR="00930C6D">
        <w:t xml:space="preserve">ive from the heart, we focus our awareness </w:t>
      </w:r>
      <w:r>
        <w:t>on four areas — referred to as</w:t>
      </w:r>
      <w:r w:rsidR="00930C6D">
        <w:t xml:space="preserve"> </w:t>
      </w:r>
      <w:r>
        <w:t>the four components of the NVC model:</w:t>
      </w:r>
    </w:p>
    <w:p w:rsidR="001F258F" w:rsidRDefault="001F258F" w:rsidP="001F258F">
      <w:r w:rsidRPr="00930C6D">
        <w:rPr>
          <w:b/>
        </w:rPr>
        <w:t>First,</w:t>
      </w:r>
      <w:r>
        <w:t xml:space="preserve"> we observe what the others are saying or doing that is either enriching or not enriching our life. The trick is to be</w:t>
      </w:r>
      <w:r w:rsidR="00930C6D">
        <w:t xml:space="preserve"> </w:t>
      </w:r>
      <w:r>
        <w:t>able to articulate this observation without introducing any judgment or evaluation.</w:t>
      </w:r>
    </w:p>
    <w:p w:rsidR="00930C6D" w:rsidRDefault="001F258F" w:rsidP="001F258F">
      <w:r w:rsidRPr="00930C6D">
        <w:rPr>
          <w:b/>
        </w:rPr>
        <w:t>Next,</w:t>
      </w:r>
      <w:r>
        <w:t xml:space="preserve"> we </w:t>
      </w:r>
      <w:r w:rsidR="00930C6D">
        <w:t xml:space="preserve">recognise </w:t>
      </w:r>
      <w:r>
        <w:t xml:space="preserve">how we feel when we observe this action: are we hurt, scared, joyful, amused, irritated? </w:t>
      </w:r>
    </w:p>
    <w:p w:rsidR="001F258F" w:rsidRDefault="00930C6D" w:rsidP="001F258F">
      <w:r w:rsidRPr="00930C6D">
        <w:rPr>
          <w:b/>
        </w:rPr>
        <w:t>T</w:t>
      </w:r>
      <w:r w:rsidR="001F258F" w:rsidRPr="00930C6D">
        <w:rPr>
          <w:b/>
        </w:rPr>
        <w:t>hirdly,</w:t>
      </w:r>
      <w:r w:rsidR="001F258F">
        <w:t xml:space="preserve"> we</w:t>
      </w:r>
      <w:r>
        <w:t xml:space="preserve"> </w:t>
      </w:r>
      <w:r w:rsidR="001F258F">
        <w:t>say what needs of ours are connected to the feelings we have identified. An awareness of these three components is</w:t>
      </w:r>
      <w:r>
        <w:t xml:space="preserve"> </w:t>
      </w:r>
      <w:r w:rsidR="001F258F">
        <w:t>present when we use NVC to clearly and honestly express how we are.</w:t>
      </w:r>
    </w:p>
    <w:p w:rsidR="001F258F" w:rsidRDefault="001F258F" w:rsidP="001F258F">
      <w:r>
        <w:t>For example, a mother might express these three pieces to her teenage son by saying, “Felix, when I see two balls of</w:t>
      </w:r>
      <w:r w:rsidR="00930C6D">
        <w:t xml:space="preserve"> </w:t>
      </w:r>
      <w:r>
        <w:t>soiled socks under the coffee table and another three next to the TV, I feel irritated because I am needing more order</w:t>
      </w:r>
      <w:r w:rsidR="00930C6D">
        <w:t xml:space="preserve"> </w:t>
      </w:r>
      <w:r>
        <w:t>in the rooms that we share in common.”</w:t>
      </w:r>
    </w:p>
    <w:p w:rsidR="001F258F" w:rsidRDefault="001F258F" w:rsidP="001F258F">
      <w:r>
        <w:t xml:space="preserve">She would follow immediately with </w:t>
      </w:r>
      <w:r w:rsidRPr="00930C6D">
        <w:rPr>
          <w:b/>
        </w:rPr>
        <w:t>the fourth component</w:t>
      </w:r>
      <w:r>
        <w:t xml:space="preserve"> – a very specific request: “Would you be willing to put your</w:t>
      </w:r>
      <w:r w:rsidR="00930C6D">
        <w:t xml:space="preserve"> </w:t>
      </w:r>
      <w:r>
        <w:t>socks in your room or in the washing machine?” This fourth component addresses what we are wanting from the other</w:t>
      </w:r>
      <w:r w:rsidR="00930C6D">
        <w:t xml:space="preserve"> </w:t>
      </w:r>
      <w:r>
        <w:t>person that would enrich our lives or make life more wonderful for us.</w:t>
      </w:r>
    </w:p>
    <w:p w:rsidR="00930C6D" w:rsidRDefault="00930C6D" w:rsidP="001F258F">
      <w:r>
        <w:t xml:space="preserve">The part that </w:t>
      </w:r>
      <w:r w:rsidRPr="00930C6D">
        <w:rPr>
          <w:b/>
        </w:rPr>
        <w:t>mindfulness</w:t>
      </w:r>
      <w:r>
        <w:t xml:space="preserve"> brings to this way of communicating is recognise the situation, perhaps calm ourselves with some centring breaths, and then choosing to react rather than respond.</w:t>
      </w:r>
    </w:p>
    <w:p w:rsidR="00930C6D" w:rsidRDefault="00930C6D" w:rsidP="001F258F">
      <w:r>
        <w:t xml:space="preserve">What </w:t>
      </w:r>
      <w:r w:rsidR="001F258F" w:rsidRPr="00930C6D">
        <w:rPr>
          <w:b/>
        </w:rPr>
        <w:t xml:space="preserve">NVC </w:t>
      </w:r>
      <w:r>
        <w:t xml:space="preserve">brings </w:t>
      </w:r>
      <w:r w:rsidR="001F258F">
        <w:t xml:space="preserve">is to </w:t>
      </w:r>
      <w:r>
        <w:t xml:space="preserve">summarise the four key </w:t>
      </w:r>
      <w:r w:rsidR="001F258F">
        <w:t>pieces of information</w:t>
      </w:r>
      <w:r>
        <w:t xml:space="preserve"> we need to gather and communicate</w:t>
      </w:r>
      <w:r w:rsidR="001F258F">
        <w:t xml:space="preserve">, whether verbally or by other means. </w:t>
      </w:r>
    </w:p>
    <w:p w:rsidR="001F258F" w:rsidRDefault="001F258F" w:rsidP="001F258F">
      <w:r>
        <w:t>The</w:t>
      </w:r>
      <w:r w:rsidR="00930C6D">
        <w:t xml:space="preserve"> </w:t>
      </w:r>
      <w:r>
        <w:t>other part of this communication consists of receiving the same four pieces of information from others. We connect with</w:t>
      </w:r>
      <w:r w:rsidR="00930C6D">
        <w:t xml:space="preserve"> </w:t>
      </w:r>
      <w:r>
        <w:t>them by first sensing what they are observing, feeling and needing; then we discover what would enrich their lives by</w:t>
      </w:r>
      <w:r w:rsidR="00930C6D">
        <w:t xml:space="preserve"> </w:t>
      </w:r>
      <w:r>
        <w:t>receiving the fourth piece — their request.</w:t>
      </w:r>
    </w:p>
    <w:p w:rsidR="001F258F" w:rsidRDefault="001F258F" w:rsidP="001F258F">
      <w:r>
        <w:t>As we keep our attention focused on the areas mentioned, and help others do likewise, we establish a flow of</w:t>
      </w:r>
      <w:r w:rsidR="00930C6D">
        <w:t xml:space="preserve"> </w:t>
      </w:r>
      <w:r>
        <w:t>communication, back and forth, until compassion manifests naturally: what I am observing, feeling,</w:t>
      </w:r>
      <w:r w:rsidR="00930C6D">
        <w:t xml:space="preserve"> a</w:t>
      </w:r>
      <w:r>
        <w:t>nd needing; what</w:t>
      </w:r>
      <w:r w:rsidR="00930C6D">
        <w:t xml:space="preserve"> </w:t>
      </w:r>
      <w:r>
        <w:t>I am requesting to enrich my life; what you are observing, feeling and needing; what you are requesting to enrich your</w:t>
      </w:r>
      <w:r w:rsidR="00930C6D">
        <w:t xml:space="preserve"> </w:t>
      </w:r>
      <w:r>
        <w:t>life …</w:t>
      </w:r>
    </w:p>
    <w:p w:rsidR="001F258F" w:rsidRDefault="001F258F" w:rsidP="001F258F">
      <w:r>
        <w:t>The NVC Process:</w:t>
      </w:r>
    </w:p>
    <w:p w:rsidR="001F258F" w:rsidRDefault="001F258F" w:rsidP="001F258F">
      <w:r>
        <w:t xml:space="preserve"> - The concrete actions we observe that affect our well-being</w:t>
      </w:r>
    </w:p>
    <w:p w:rsidR="001F258F" w:rsidRDefault="001F258F" w:rsidP="001F258F">
      <w:r>
        <w:t xml:space="preserve"> - How we feel in relation to what we observe</w:t>
      </w:r>
    </w:p>
    <w:p w:rsidR="001F258F" w:rsidRDefault="001F258F" w:rsidP="001F258F">
      <w:r>
        <w:t xml:space="preserve"> - The needs, values, desires, etc. that create our feelings</w:t>
      </w:r>
    </w:p>
    <w:p w:rsidR="001F258F" w:rsidRDefault="001F258F" w:rsidP="001F258F">
      <w:r>
        <w:t xml:space="preserve"> - The concrete actions we request </w:t>
      </w:r>
      <w:proofErr w:type="gramStart"/>
      <w:r>
        <w:t>in order to</w:t>
      </w:r>
      <w:proofErr w:type="gramEnd"/>
      <w:r>
        <w:t xml:space="preserve"> enrich our lives</w:t>
      </w:r>
    </w:p>
    <w:sectPr w:rsidR="001F258F" w:rsidSect="00A3109A">
      <w:footerReference w:type="default" r:id="rId12"/>
      <w:headerReference w:type="first" r:id="rId13"/>
      <w:footerReference w:type="first" r:id="rId14"/>
      <w:pgSz w:w="12240" w:h="15840"/>
      <w:pgMar w:top="1440" w:right="1440" w:bottom="1440" w:left="1440" w:header="720" w:footer="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7BF" w:rsidRDefault="00E747BF">
      <w:pPr>
        <w:spacing w:after="0" w:line="240" w:lineRule="auto"/>
      </w:pPr>
      <w:r>
        <w:separator/>
      </w:r>
    </w:p>
  </w:endnote>
  <w:endnote w:type="continuationSeparator" w:id="0">
    <w:p w:rsidR="00E747BF" w:rsidRDefault="00E7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C6D" w:rsidRDefault="00930C6D" w:rsidP="00930C6D">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702"/>
      <w:gridCol w:w="3117"/>
    </w:tblGrid>
    <w:tr w:rsidR="00930C6D" w:rsidTr="007C61A9">
      <w:tc>
        <w:tcPr>
          <w:tcW w:w="4531" w:type="dxa"/>
        </w:tcPr>
        <w:p w:rsidR="00930C6D" w:rsidRDefault="00930C6D" w:rsidP="00930C6D">
          <w:pPr>
            <w:pStyle w:val="Footer"/>
          </w:pPr>
          <w:r>
            <w:t>Mindfulness Based Stress Reduction Course</w:t>
          </w:r>
        </w:p>
      </w:tc>
      <w:tc>
        <w:tcPr>
          <w:tcW w:w="1702" w:type="dxa"/>
        </w:tcPr>
        <w:p w:rsidR="00930C6D" w:rsidRDefault="00930C6D" w:rsidP="00930C6D">
          <w:pPr>
            <w:pStyle w:val="Footer"/>
            <w:jc w:val="right"/>
          </w:pPr>
        </w:p>
      </w:tc>
      <w:tc>
        <w:tcPr>
          <w:tcW w:w="3117" w:type="dxa"/>
        </w:tcPr>
        <w:p w:rsidR="00930C6D" w:rsidRDefault="00930C6D" w:rsidP="00930C6D">
          <w:pPr>
            <w:pStyle w:val="Footer"/>
            <w:jc w:val="right"/>
          </w:pPr>
          <w:r>
            <w:t>© 2017 David Bush</w:t>
          </w:r>
        </w:p>
      </w:tc>
    </w:tr>
  </w:tbl>
  <w:p w:rsidR="00930C6D" w:rsidRDefault="0093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9A" w:rsidRDefault="00A3109A">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702"/>
      <w:gridCol w:w="3117"/>
    </w:tblGrid>
    <w:tr w:rsidR="00A3109A" w:rsidTr="00A3109A">
      <w:tc>
        <w:tcPr>
          <w:tcW w:w="4531" w:type="dxa"/>
        </w:tcPr>
        <w:p w:rsidR="00A3109A" w:rsidRDefault="00A3109A" w:rsidP="00A3109A">
          <w:pPr>
            <w:pStyle w:val="Footer"/>
          </w:pPr>
          <w:r>
            <w:t>Mindfulness Based Stress Reduction Course</w:t>
          </w:r>
        </w:p>
      </w:tc>
      <w:tc>
        <w:tcPr>
          <w:tcW w:w="1702" w:type="dxa"/>
        </w:tcPr>
        <w:p w:rsidR="00A3109A" w:rsidRDefault="00A3109A" w:rsidP="00A3109A">
          <w:pPr>
            <w:pStyle w:val="Footer"/>
            <w:jc w:val="right"/>
          </w:pPr>
        </w:p>
      </w:tc>
      <w:tc>
        <w:tcPr>
          <w:tcW w:w="3117" w:type="dxa"/>
        </w:tcPr>
        <w:p w:rsidR="00A3109A" w:rsidRDefault="00A3109A" w:rsidP="00A3109A">
          <w:pPr>
            <w:pStyle w:val="Footer"/>
            <w:jc w:val="right"/>
          </w:pPr>
          <w:r>
            <w:t>© 2017 David Bush</w:t>
          </w:r>
        </w:p>
      </w:tc>
    </w:tr>
  </w:tbl>
  <w:p w:rsidR="00A3109A" w:rsidRDefault="00A310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7BF" w:rsidRDefault="00E747BF">
      <w:pPr>
        <w:spacing w:after="0" w:line="240" w:lineRule="auto"/>
      </w:pPr>
      <w:r>
        <w:separator/>
      </w:r>
    </w:p>
  </w:footnote>
  <w:footnote w:type="continuationSeparator" w:id="0">
    <w:p w:rsidR="00E747BF" w:rsidRDefault="00E74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9A" w:rsidRPr="00A107AE" w:rsidRDefault="00BF09A5" w:rsidP="00BF09A5">
    <w:pPr>
      <w:pStyle w:val="Header"/>
      <w:jc w:val="right"/>
      <w:rPr>
        <w:rFonts w:ascii="High Tower Text" w:hAnsi="High Tower Text"/>
        <w:sz w:val="40"/>
        <w:szCs w:val="40"/>
      </w:rPr>
    </w:pPr>
    <w:bookmarkStart w:id="1" w:name="_Hlk497232091"/>
    <w:bookmarkStart w:id="2" w:name="_Hlk497232092"/>
    <w:r>
      <w:rPr>
        <w:rFonts w:ascii="High Tower Text" w:hAnsi="High Tower Text"/>
        <w:noProof/>
        <w:sz w:val="40"/>
        <w:szCs w:val="40"/>
      </w:rPr>
      <w:drawing>
        <wp:anchor distT="0" distB="0" distL="114300" distR="114300" simplePos="0" relativeHeight="251658240" behindDoc="1" locked="0" layoutInCell="1" allowOverlap="1" wp14:anchorId="66493AE7">
          <wp:simplePos x="0" y="0"/>
          <wp:positionH relativeFrom="column">
            <wp:posOffset>-581025</wp:posOffset>
          </wp:positionH>
          <wp:positionV relativeFrom="paragraph">
            <wp:posOffset>-161925</wp:posOffset>
          </wp:positionV>
          <wp:extent cx="1688465" cy="621665"/>
          <wp:effectExtent l="0" t="0" r="0" b="0"/>
          <wp:wrapTight wrapText="bothSides">
            <wp:wrapPolygon edited="0">
              <wp:start x="7798" y="4633"/>
              <wp:lineTo x="3899" y="9928"/>
              <wp:lineTo x="2681" y="12576"/>
              <wp:lineTo x="3168" y="17871"/>
              <wp:lineTo x="7311" y="20519"/>
              <wp:lineTo x="16815" y="20519"/>
              <wp:lineTo x="16572" y="16547"/>
              <wp:lineTo x="17790" y="13900"/>
              <wp:lineTo x="17303" y="7943"/>
              <wp:lineTo x="15109" y="4633"/>
              <wp:lineTo x="7798" y="4633"/>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621665"/>
                  </a:xfrm>
                  <a:prstGeom prst="rect">
                    <a:avLst/>
                  </a:prstGeom>
                  <a:noFill/>
                </pic:spPr>
              </pic:pic>
            </a:graphicData>
          </a:graphic>
        </wp:anchor>
      </w:drawing>
    </w:r>
    <w:r w:rsidR="004E638C">
      <w:rPr>
        <w:rFonts w:ascii="High Tower Text" w:hAnsi="High Tower Text"/>
        <w:sz w:val="40"/>
        <w:szCs w:val="40"/>
      </w:rPr>
      <w:t>Week 6</w:t>
    </w:r>
  </w:p>
  <w:p w:rsidR="00A3109A" w:rsidRDefault="00A3109A" w:rsidP="00A3109A">
    <w:pPr>
      <w:pStyle w:val="Header"/>
      <w:jc w:val="right"/>
      <w:rPr>
        <w:rFonts w:ascii="High Tower Text" w:hAnsi="High Tower Text"/>
      </w:rPr>
    </w:pPr>
  </w:p>
  <w:p w:rsidR="00A3109A" w:rsidRPr="00A3109A" w:rsidRDefault="00E747BF" w:rsidP="00A3109A">
    <w:pPr>
      <w:pStyle w:val="Header"/>
      <w:jc w:val="right"/>
      <w:rPr>
        <w:rFonts w:ascii="High Tower Text" w:hAnsi="High Tower Text"/>
      </w:rPr>
    </w:pPr>
    <w:r>
      <w:rPr>
        <w:rFonts w:ascii="High Tower Text" w:hAnsi="High Tower Text"/>
      </w:rPr>
      <w:pict>
        <v:rect id="_x0000_i1025" style="width:0;height:1.5pt" o:hralign="center" o:hrstd="t" o:hr="t" fillcolor="#a0a0a0" stroked="f"/>
      </w:pic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F1E2D"/>
    <w:multiLevelType w:val="multilevel"/>
    <w:tmpl w:val="C078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FF1562"/>
    <w:multiLevelType w:val="multilevel"/>
    <w:tmpl w:val="248C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2821DD"/>
    <w:multiLevelType w:val="hybridMultilevel"/>
    <w:tmpl w:val="B4E8B5DC"/>
    <w:lvl w:ilvl="0" w:tplc="692C41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A0774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A6C8B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4CA21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56B9D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A28F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7419E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D0E41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0C5D7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E4F6D"/>
    <w:multiLevelType w:val="hybridMultilevel"/>
    <w:tmpl w:val="897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D5457"/>
    <w:multiLevelType w:val="hybridMultilevel"/>
    <w:tmpl w:val="A856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DAF08C9"/>
    <w:multiLevelType w:val="hybridMultilevel"/>
    <w:tmpl w:val="89223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3"/>
  </w:num>
  <w:num w:numId="3">
    <w:abstractNumId w:val="15"/>
  </w:num>
  <w:num w:numId="4">
    <w:abstractNumId w:val="14"/>
  </w:num>
  <w:num w:numId="5">
    <w:abstractNumId w:val="20"/>
  </w:num>
  <w:num w:numId="6">
    <w:abstractNumId w:val="21"/>
  </w:num>
  <w:num w:numId="7">
    <w:abstractNumId w:val="19"/>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1"/>
  </w:num>
  <w:num w:numId="21">
    <w:abstractNumId w:val="22"/>
  </w:num>
  <w:num w:numId="22">
    <w:abstractNumId w:val="17"/>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9A"/>
    <w:rsid w:val="00194DF6"/>
    <w:rsid w:val="001D712D"/>
    <w:rsid w:val="001F258F"/>
    <w:rsid w:val="001F5F5B"/>
    <w:rsid w:val="00247F5B"/>
    <w:rsid w:val="004E1AED"/>
    <w:rsid w:val="004E638C"/>
    <w:rsid w:val="005C12A5"/>
    <w:rsid w:val="005D3183"/>
    <w:rsid w:val="00635BE8"/>
    <w:rsid w:val="00667921"/>
    <w:rsid w:val="00702A01"/>
    <w:rsid w:val="00930C6D"/>
    <w:rsid w:val="00963F3E"/>
    <w:rsid w:val="009B73E9"/>
    <w:rsid w:val="00A107AE"/>
    <w:rsid w:val="00A1310C"/>
    <w:rsid w:val="00A3109A"/>
    <w:rsid w:val="00A94F2F"/>
    <w:rsid w:val="00AE383A"/>
    <w:rsid w:val="00BF09A5"/>
    <w:rsid w:val="00D47A97"/>
    <w:rsid w:val="00D9404C"/>
    <w:rsid w:val="00E0246C"/>
    <w:rsid w:val="00E747BF"/>
    <w:rsid w:val="00F72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2DF20"/>
  <w15:docId w15:val="{2BE72F55-FD5A-4B34-A005-AC1C96C4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04C"/>
    <w:pPr>
      <w:spacing w:before="0" w:after="160" w:line="259" w:lineRule="auto"/>
    </w:pPr>
    <w:rPr>
      <w:rFonts w:eastAsiaTheme="minorHAnsi"/>
      <w:lang w:val="en-GB" w:eastAsia="en-US"/>
    </w:rPr>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table" w:customStyle="1" w:styleId="TableGrid0">
    <w:name w:val="TableGrid"/>
    <w:rsid w:val="00635BE8"/>
    <w:pPr>
      <w:spacing w:before="0" w:after="0" w:line="240" w:lineRule="auto"/>
    </w:pPr>
    <w:rPr>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635BE8"/>
    <w:pPr>
      <w:spacing w:after="0"/>
      <w:ind w:left="720" w:right="2390"/>
      <w:contextualSpacing/>
      <w:jc w:val="right"/>
    </w:pPr>
    <w:rPr>
      <w:rFonts w:ascii="Times New Roman" w:eastAsia="Times New Roman" w:hAnsi="Times New Roman" w:cs="Times New Roman"/>
      <w:color w:val="000000"/>
      <w:sz w:val="25"/>
      <w:lang w:eastAsia="en-GB"/>
    </w:rPr>
  </w:style>
  <w:style w:type="character" w:styleId="Strong">
    <w:name w:val="Strong"/>
    <w:basedOn w:val="DefaultParagraphFont"/>
    <w:uiPriority w:val="22"/>
    <w:qFormat/>
    <w:rsid w:val="004E6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003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0653C-022B-4A53-BA26-1EA430C2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Bush</cp:lastModifiedBy>
  <cp:revision>3</cp:revision>
  <cp:lastPrinted>2017-10-31T17:13:00Z</cp:lastPrinted>
  <dcterms:created xsi:type="dcterms:W3CDTF">2017-11-08T10:32:00Z</dcterms:created>
  <dcterms:modified xsi:type="dcterms:W3CDTF">2017-11-08T10:46:00Z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